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D05" w:rsidRDefault="002E6D05" w:rsidP="00D320C4">
      <w:pPr>
        <w:pStyle w:val="Akapitzlist"/>
        <w:spacing w:before="100" w:beforeAutospacing="1" w:after="100" w:afterAutospacing="1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20C4">
        <w:rPr>
          <w:rFonts w:ascii="Times New Roman" w:eastAsia="Times New Roman" w:hAnsi="Times New Roman" w:cs="Times New Roman"/>
          <w:b/>
          <w:sz w:val="36"/>
          <w:szCs w:val="24"/>
          <w:lang w:eastAsia="pl-PL"/>
        </w:rPr>
        <w:t>Drogi ucieczki biogenów z gleby do wody</w:t>
      </w:r>
      <w:r w:rsidRPr="00D320C4">
        <w:rPr>
          <w:rFonts w:ascii="Times New Roman" w:eastAsia="Times New Roman" w:hAnsi="Times New Roman" w:cs="Times New Roman"/>
          <w:sz w:val="36"/>
          <w:szCs w:val="24"/>
          <w:lang w:eastAsia="pl-PL"/>
        </w:rPr>
        <w:t xml:space="preserve"> </w:t>
      </w:r>
      <w:r w:rsidRPr="00D320C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Dla wykonania tablicy zostanie opracowany schemat oraz materiał merytoryczny opisujący procesy przedostawania się biogenów do wód i powodujące ich skażenie. Dla tego celu będzie konieczny opracowanie schematu i krótkich tekstów. </w:t>
      </w:r>
    </w:p>
    <w:p w:rsidR="00D320C4" w:rsidRDefault="00D320C4" w:rsidP="00D320C4">
      <w:pPr>
        <w:pStyle w:val="Akapitzlist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320C4" w:rsidRPr="00D320C4" w:rsidRDefault="00D320C4" w:rsidP="00D320C4">
      <w:pPr>
        <w:pStyle w:val="Akapitzlist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pl-PL"/>
        </w:rPr>
      </w:pPr>
      <w:r w:rsidRPr="00D320C4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pl-PL"/>
        </w:rPr>
        <w:t>Zjawiska na powierzchni w głębi gleby</w:t>
      </w:r>
    </w:p>
    <w:p w:rsidR="00F03EA6" w:rsidRPr="00D320C4" w:rsidRDefault="002E6D05" w:rsidP="00D320C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7030A0"/>
          <w:sz w:val="24"/>
          <w:szCs w:val="24"/>
        </w:rPr>
      </w:pPr>
      <w:r w:rsidRPr="00D320C4">
        <w:rPr>
          <w:rFonts w:ascii="Times New Roman" w:hAnsi="Times New Roman" w:cs="Times New Roman"/>
          <w:color w:val="7030A0"/>
          <w:sz w:val="24"/>
          <w:szCs w:val="24"/>
        </w:rPr>
        <w:t>Zmywy powierzchniowe – erozja</w:t>
      </w:r>
      <w:r w:rsidR="00D320C4" w:rsidRPr="00D320C4">
        <w:rPr>
          <w:rFonts w:ascii="Times New Roman" w:hAnsi="Times New Roman" w:cs="Times New Roman"/>
          <w:color w:val="7030A0"/>
          <w:sz w:val="24"/>
          <w:szCs w:val="24"/>
        </w:rPr>
        <w:t xml:space="preserve"> istotne źródło zanieczyszczenia </w:t>
      </w:r>
      <w:r w:rsidRPr="00D320C4">
        <w:rPr>
          <w:rFonts w:ascii="Times New Roman" w:hAnsi="Times New Roman" w:cs="Times New Roman"/>
          <w:color w:val="7030A0"/>
          <w:sz w:val="24"/>
          <w:szCs w:val="24"/>
        </w:rPr>
        <w:t xml:space="preserve"> N i P </w:t>
      </w:r>
    </w:p>
    <w:p w:rsidR="002E6D05" w:rsidRPr="00D320C4" w:rsidRDefault="002E6D05" w:rsidP="002E6D0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7030A0"/>
          <w:sz w:val="24"/>
          <w:szCs w:val="24"/>
        </w:rPr>
      </w:pPr>
      <w:r w:rsidRPr="00D320C4">
        <w:rPr>
          <w:rFonts w:ascii="Times New Roman" w:hAnsi="Times New Roman" w:cs="Times New Roman"/>
          <w:color w:val="7030A0"/>
          <w:sz w:val="24"/>
          <w:szCs w:val="24"/>
        </w:rPr>
        <w:t>Zmyw na skłonach</w:t>
      </w:r>
    </w:p>
    <w:p w:rsidR="002E6D05" w:rsidRPr="00D320C4" w:rsidRDefault="002E6D05" w:rsidP="002E6D0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7030A0"/>
          <w:sz w:val="24"/>
          <w:szCs w:val="24"/>
        </w:rPr>
      </w:pPr>
      <w:r w:rsidRPr="00D320C4">
        <w:rPr>
          <w:rFonts w:ascii="Times New Roman" w:hAnsi="Times New Roman" w:cs="Times New Roman"/>
          <w:color w:val="7030A0"/>
          <w:sz w:val="24"/>
          <w:szCs w:val="24"/>
        </w:rPr>
        <w:t>Przepływ podpowierzchniowy – głównie N i niewiele P</w:t>
      </w:r>
    </w:p>
    <w:p w:rsidR="002E6D05" w:rsidRPr="00D320C4" w:rsidRDefault="002E6D05" w:rsidP="002E6D0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7030A0"/>
          <w:sz w:val="24"/>
          <w:szCs w:val="24"/>
        </w:rPr>
      </w:pPr>
      <w:r w:rsidRPr="00D320C4">
        <w:rPr>
          <w:rFonts w:ascii="Times New Roman" w:hAnsi="Times New Roman" w:cs="Times New Roman"/>
          <w:color w:val="7030A0"/>
          <w:sz w:val="24"/>
          <w:szCs w:val="24"/>
        </w:rPr>
        <w:t>Wymywanie do głębszych warstw gleby i wód zaskórnych i gruntowych głównie N</w:t>
      </w:r>
    </w:p>
    <w:p w:rsidR="002E6D05" w:rsidRPr="00D320C4" w:rsidRDefault="002E6D05" w:rsidP="002E6D05">
      <w:pPr>
        <w:pStyle w:val="Akapitzlist"/>
        <w:rPr>
          <w:rFonts w:ascii="Times New Roman" w:hAnsi="Times New Roman" w:cs="Times New Roman"/>
          <w:color w:val="7030A0"/>
          <w:sz w:val="24"/>
          <w:szCs w:val="24"/>
        </w:rPr>
      </w:pPr>
      <w:r w:rsidRPr="00D320C4">
        <w:rPr>
          <w:rFonts w:ascii="Times New Roman" w:hAnsi="Times New Roman" w:cs="Times New Roman"/>
          <w:color w:val="7030A0"/>
          <w:sz w:val="24"/>
          <w:szCs w:val="24"/>
        </w:rPr>
        <w:t>Przedostanie się do systemu drenarskiego</w:t>
      </w:r>
    </w:p>
    <w:p w:rsidR="00D320C4" w:rsidRPr="00D320C4" w:rsidRDefault="00D320C4" w:rsidP="002E6D05">
      <w:pPr>
        <w:pStyle w:val="Akapitzlist"/>
        <w:rPr>
          <w:rFonts w:ascii="Times New Roman" w:hAnsi="Times New Roman" w:cs="Times New Roman"/>
          <w:color w:val="7030A0"/>
          <w:sz w:val="24"/>
          <w:szCs w:val="24"/>
        </w:rPr>
      </w:pPr>
    </w:p>
    <w:p w:rsidR="00D320C4" w:rsidRPr="00D320C4" w:rsidRDefault="00D320C4" w:rsidP="00D320C4">
      <w:pPr>
        <w:pStyle w:val="Akapitzlist"/>
        <w:ind w:left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320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Błędy w stosowaniu nawozów </w:t>
      </w:r>
    </w:p>
    <w:p w:rsidR="00837880" w:rsidRPr="00D320C4" w:rsidRDefault="00837880" w:rsidP="0083788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FF0000"/>
          <w:sz w:val="24"/>
          <w:szCs w:val="24"/>
        </w:rPr>
      </w:pPr>
      <w:r w:rsidRPr="00D320C4">
        <w:rPr>
          <w:rFonts w:ascii="Times New Roman" w:hAnsi="Times New Roman" w:cs="Times New Roman"/>
          <w:color w:val="FF0000"/>
          <w:sz w:val="24"/>
          <w:szCs w:val="24"/>
        </w:rPr>
        <w:t>Stosowanie gnojowicy i obornika za blisko brzegów wód</w:t>
      </w:r>
    </w:p>
    <w:p w:rsidR="00837880" w:rsidRPr="00D320C4" w:rsidRDefault="00837880" w:rsidP="0083788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FF0000"/>
          <w:sz w:val="24"/>
          <w:szCs w:val="24"/>
        </w:rPr>
      </w:pPr>
      <w:r w:rsidRPr="00D320C4">
        <w:rPr>
          <w:rFonts w:ascii="Times New Roman" w:hAnsi="Times New Roman" w:cs="Times New Roman"/>
          <w:color w:val="FF0000"/>
          <w:sz w:val="24"/>
          <w:szCs w:val="24"/>
        </w:rPr>
        <w:t>Stosowanie nawozów mineralnych za blisko wód</w:t>
      </w:r>
    </w:p>
    <w:p w:rsidR="00D320C4" w:rsidRPr="00D320C4" w:rsidRDefault="00D320C4" w:rsidP="00D320C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FF0000"/>
          <w:sz w:val="24"/>
          <w:szCs w:val="24"/>
        </w:rPr>
      </w:pPr>
      <w:r w:rsidRPr="00D320C4">
        <w:rPr>
          <w:rFonts w:ascii="Times New Roman" w:hAnsi="Times New Roman" w:cs="Times New Roman"/>
          <w:color w:val="FF0000"/>
          <w:sz w:val="24"/>
          <w:szCs w:val="24"/>
        </w:rPr>
        <w:t>Spłukiwanie z powierzchni gleby zamarzniętej, zalanej wodą, zasypanej śniegiem. nawozów zastosowanych niezgodnie z prawem</w:t>
      </w:r>
    </w:p>
    <w:p w:rsidR="00D320C4" w:rsidRPr="00D320C4" w:rsidRDefault="00D320C4" w:rsidP="00D320C4">
      <w:pPr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D320C4">
        <w:rPr>
          <w:rFonts w:ascii="Times New Roman" w:hAnsi="Times New Roman" w:cs="Times New Roman"/>
          <w:b/>
          <w:color w:val="00B050"/>
          <w:sz w:val="24"/>
          <w:szCs w:val="24"/>
        </w:rPr>
        <w:t>Błędy w technologiach uprawy i nawożeniu</w:t>
      </w:r>
    </w:p>
    <w:p w:rsidR="00D320C4" w:rsidRPr="00D320C4" w:rsidRDefault="00D320C4" w:rsidP="0083788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color w:val="00B050"/>
          <w:sz w:val="24"/>
          <w:szCs w:val="24"/>
        </w:rPr>
        <w:t>Pozostawianie na długi czas gleb bez okrywy co sprzyja erozji. Szc</w:t>
      </w:r>
      <w:r w:rsidR="0088475A">
        <w:rPr>
          <w:rFonts w:ascii="Times New Roman" w:hAnsi="Times New Roman" w:cs="Times New Roman"/>
          <w:color w:val="00B050"/>
          <w:sz w:val="24"/>
          <w:szCs w:val="24"/>
        </w:rPr>
        <w:t>z</w:t>
      </w:r>
      <w:r>
        <w:rPr>
          <w:rFonts w:ascii="Times New Roman" w:hAnsi="Times New Roman" w:cs="Times New Roman"/>
          <w:color w:val="00B050"/>
          <w:sz w:val="24"/>
          <w:szCs w:val="24"/>
        </w:rPr>
        <w:t>ególnie ważne na obszarach pofałdowanych</w:t>
      </w:r>
    </w:p>
    <w:p w:rsidR="00837880" w:rsidRPr="00D320C4" w:rsidRDefault="00837880" w:rsidP="0083788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B050"/>
          <w:sz w:val="24"/>
          <w:szCs w:val="24"/>
        </w:rPr>
      </w:pPr>
      <w:r w:rsidRPr="00D320C4">
        <w:rPr>
          <w:rFonts w:ascii="Times New Roman" w:hAnsi="Times New Roman" w:cs="Times New Roman"/>
          <w:color w:val="00B050"/>
          <w:sz w:val="24"/>
          <w:szCs w:val="24"/>
        </w:rPr>
        <w:t>Zbyt wysokie</w:t>
      </w:r>
      <w:r w:rsidR="00D320C4">
        <w:rPr>
          <w:rFonts w:ascii="Times New Roman" w:hAnsi="Times New Roman" w:cs="Times New Roman"/>
          <w:color w:val="00B050"/>
          <w:sz w:val="24"/>
          <w:szCs w:val="24"/>
        </w:rPr>
        <w:t xml:space="preserve">, źle zbilansowane </w:t>
      </w:r>
      <w:r w:rsidRPr="00D320C4">
        <w:rPr>
          <w:rFonts w:ascii="Times New Roman" w:hAnsi="Times New Roman" w:cs="Times New Roman"/>
          <w:color w:val="00B050"/>
          <w:sz w:val="24"/>
          <w:szCs w:val="24"/>
        </w:rPr>
        <w:t xml:space="preserve"> nawożenie składnikami pokarmowymi – nadmiar N i P</w:t>
      </w:r>
      <w:r w:rsidR="00D320C4">
        <w:rPr>
          <w:rFonts w:ascii="Times New Roman" w:hAnsi="Times New Roman" w:cs="Times New Roman"/>
          <w:color w:val="00B050"/>
          <w:sz w:val="24"/>
          <w:szCs w:val="24"/>
        </w:rPr>
        <w:t xml:space="preserve">, niedobory innych składników nawozowych </w:t>
      </w:r>
    </w:p>
    <w:p w:rsidR="00D320C4" w:rsidRDefault="00837880" w:rsidP="00D320C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B050"/>
          <w:sz w:val="24"/>
          <w:szCs w:val="24"/>
        </w:rPr>
      </w:pPr>
      <w:r w:rsidRPr="00D320C4">
        <w:rPr>
          <w:rFonts w:ascii="Times New Roman" w:hAnsi="Times New Roman" w:cs="Times New Roman"/>
          <w:color w:val="00B050"/>
          <w:sz w:val="24"/>
          <w:szCs w:val="24"/>
        </w:rPr>
        <w:t xml:space="preserve">Zła struktura gleby- </w:t>
      </w:r>
      <w:r w:rsidR="00D320C4">
        <w:rPr>
          <w:rFonts w:ascii="Times New Roman" w:hAnsi="Times New Roman" w:cs="Times New Roman"/>
          <w:color w:val="00B050"/>
          <w:sz w:val="24"/>
          <w:szCs w:val="24"/>
        </w:rPr>
        <w:t xml:space="preserve">nadmierne </w:t>
      </w:r>
      <w:r w:rsidRPr="00D320C4">
        <w:rPr>
          <w:rFonts w:ascii="Times New Roman" w:hAnsi="Times New Roman" w:cs="Times New Roman"/>
          <w:color w:val="00B050"/>
          <w:sz w:val="24"/>
          <w:szCs w:val="24"/>
        </w:rPr>
        <w:t>zakwaszenie, rozpylenie gleby</w:t>
      </w:r>
      <w:r w:rsidR="00D320C4">
        <w:rPr>
          <w:rFonts w:ascii="Times New Roman" w:hAnsi="Times New Roman" w:cs="Times New Roman"/>
          <w:color w:val="00B050"/>
          <w:sz w:val="24"/>
          <w:szCs w:val="24"/>
        </w:rPr>
        <w:t>,</w:t>
      </w:r>
      <w:r w:rsidRPr="00D320C4">
        <w:rPr>
          <w:rFonts w:ascii="Times New Roman" w:hAnsi="Times New Roman" w:cs="Times New Roman"/>
          <w:color w:val="00B050"/>
          <w:sz w:val="24"/>
          <w:szCs w:val="24"/>
        </w:rPr>
        <w:t xml:space="preserve"> za mało substancji organicznej, zanik życia glebowego</w:t>
      </w:r>
    </w:p>
    <w:p w:rsidR="00D320C4" w:rsidRPr="00D320C4" w:rsidRDefault="00D320C4" w:rsidP="00D320C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B050"/>
          <w:sz w:val="24"/>
          <w:szCs w:val="24"/>
        </w:rPr>
      </w:pPr>
      <w:r w:rsidRPr="00D320C4">
        <w:rPr>
          <w:rFonts w:ascii="Times New Roman" w:hAnsi="Times New Roman" w:cs="Times New Roman"/>
          <w:color w:val="00B050"/>
          <w:sz w:val="24"/>
          <w:szCs w:val="24"/>
        </w:rPr>
        <w:t xml:space="preserve">Niewłaściwe praktyki uprawowe np.  za wczesne zaoranie dużych ilości resztek pożniwnych (koniczyny, lucerny, ich mieszanki z trawami) co wywołuje przyspieszoną mineralizacje azotu </w:t>
      </w:r>
    </w:p>
    <w:p w:rsidR="00D320C4" w:rsidRPr="00D320C4" w:rsidRDefault="00D320C4" w:rsidP="00D320C4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D320C4">
        <w:rPr>
          <w:rFonts w:ascii="Times New Roman" w:hAnsi="Times New Roman" w:cs="Times New Roman"/>
          <w:b/>
          <w:color w:val="0070C0"/>
          <w:sz w:val="24"/>
          <w:szCs w:val="24"/>
        </w:rPr>
        <w:t>Przechowywanie nawozów naturalnych</w:t>
      </w:r>
    </w:p>
    <w:p w:rsidR="00D320C4" w:rsidRPr="00D320C4" w:rsidRDefault="00D320C4" w:rsidP="00D320C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70C0"/>
          <w:sz w:val="24"/>
          <w:szCs w:val="24"/>
        </w:rPr>
      </w:pPr>
      <w:r w:rsidRPr="00D320C4">
        <w:rPr>
          <w:rFonts w:ascii="Times New Roman" w:hAnsi="Times New Roman" w:cs="Times New Roman"/>
          <w:color w:val="0070C0"/>
          <w:sz w:val="24"/>
          <w:szCs w:val="24"/>
        </w:rPr>
        <w:t xml:space="preserve">Błędy w przechowywaniu nawozów naturalnych w obejściu; </w:t>
      </w:r>
    </w:p>
    <w:p w:rsidR="00D320C4" w:rsidRPr="00D320C4" w:rsidRDefault="00D320C4" w:rsidP="00D320C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70C0"/>
          <w:sz w:val="24"/>
          <w:szCs w:val="24"/>
        </w:rPr>
      </w:pPr>
      <w:r w:rsidRPr="00D320C4">
        <w:rPr>
          <w:rFonts w:ascii="Times New Roman" w:hAnsi="Times New Roman" w:cs="Times New Roman"/>
          <w:color w:val="0070C0"/>
          <w:sz w:val="24"/>
          <w:szCs w:val="24"/>
        </w:rPr>
        <w:t>Zła lokalizacja i przygotowanie pryzmy w polu</w:t>
      </w:r>
    </w:p>
    <w:p w:rsidR="00D320C4" w:rsidRPr="00D320C4" w:rsidRDefault="00D320C4" w:rsidP="0083788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70C0"/>
          <w:sz w:val="24"/>
          <w:szCs w:val="24"/>
        </w:rPr>
      </w:pPr>
      <w:r w:rsidRPr="00D320C4">
        <w:rPr>
          <w:rFonts w:ascii="Times New Roman" w:hAnsi="Times New Roman" w:cs="Times New Roman"/>
          <w:color w:val="0070C0"/>
          <w:sz w:val="24"/>
          <w:szCs w:val="24"/>
        </w:rPr>
        <w:t>Błędy w przechowywaniu kiszonek</w:t>
      </w:r>
    </w:p>
    <w:p w:rsidR="00667540" w:rsidRDefault="00D320C4" w:rsidP="00667540">
      <w:r>
        <w:t>Można skorzystać z infografik jak w bilansach N i P</w:t>
      </w:r>
    </w:p>
    <w:p w:rsidR="00837880" w:rsidRPr="00667540" w:rsidRDefault="00837880" w:rsidP="00667540">
      <w:pPr>
        <w:ind w:firstLine="708"/>
      </w:pPr>
    </w:p>
    <w:sectPr w:rsidR="00837880" w:rsidRPr="00667540" w:rsidSect="002E6D05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659AF"/>
    <w:multiLevelType w:val="hybridMultilevel"/>
    <w:tmpl w:val="D4D200F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characterSpacingControl w:val="doNotCompress"/>
  <w:compat/>
  <w:rsids>
    <w:rsidRoot w:val="002E6D05"/>
    <w:rsid w:val="002E6D05"/>
    <w:rsid w:val="005915AA"/>
    <w:rsid w:val="00667540"/>
    <w:rsid w:val="0068285B"/>
    <w:rsid w:val="006B31EE"/>
    <w:rsid w:val="00837880"/>
    <w:rsid w:val="0088475A"/>
    <w:rsid w:val="00D24A3F"/>
    <w:rsid w:val="00D320C4"/>
    <w:rsid w:val="00D54F72"/>
    <w:rsid w:val="00F03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D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6D0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67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5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Krysztoforski</dc:creator>
  <cp:lastModifiedBy>Marek Krysztoforski</cp:lastModifiedBy>
  <cp:revision>2</cp:revision>
  <dcterms:created xsi:type="dcterms:W3CDTF">2019-01-26T18:01:00Z</dcterms:created>
  <dcterms:modified xsi:type="dcterms:W3CDTF">2019-01-26T18:01:00Z</dcterms:modified>
</cp:coreProperties>
</file>